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Toc480378423"/>
      <w:bookmarkStart w:id="1" w:name="_Toc383783428"/>
      <w:bookmarkStart w:id="2" w:name="_Toc383783336"/>
      <w:bookmarkStart w:id="3" w:name="_Toc383782742"/>
      <w:r>
        <w:rPr>
          <w:rFonts w:hint="eastAsia" w:ascii="方正仿宋" w:hAnsi="方正仿宋" w:eastAsia="方正仿宋" w:cs="方正仿宋"/>
          <w:color w:val="auto"/>
          <w:sz w:val="32"/>
          <w:szCs w:val="32"/>
        </w:rPr>
        <w:t>附件</w:t>
      </w:r>
      <w:bookmarkEnd w:id="0"/>
      <w:bookmarkStart w:id="4" w:name="_Toc480378424"/>
      <w:r>
        <w:rPr>
          <w:rFonts w:hint="eastAsia" w:ascii="方正仿宋" w:hAnsi="方正仿宋" w:eastAsia="方正仿宋" w:cs="方正仿宋"/>
          <w:color w:val="auto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bookmarkStart w:id="5" w:name="_GoBack"/>
      <w:bookmarkEnd w:id="5"/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台江县重污染天气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信息报送</w:t>
      </w:r>
      <w:bookmarkEnd w:id="1"/>
      <w:bookmarkEnd w:id="2"/>
      <w:bookmarkEnd w:id="3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内容</w:t>
      </w:r>
      <w:bookmarkEnd w:id="4"/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tbl>
      <w:tblPr>
        <w:tblStyle w:val="2"/>
        <w:tblpPr w:leftFromText="180" w:rightFromText="180" w:vertAnchor="text" w:horzAnchor="page" w:tblpX="1681" w:tblpY="6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6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" w:hAnsi="方正黑体" w:eastAsia="方正黑体" w:cs="方正黑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color w:val="auto"/>
                <w:kern w:val="0"/>
                <w:sz w:val="28"/>
                <w:szCs w:val="28"/>
                <w:lang w:eastAsia="zh-CN"/>
              </w:rPr>
              <w:t>项</w:t>
            </w:r>
            <w:r>
              <w:rPr>
                <w:rFonts w:hint="eastAsia" w:ascii="方正黑体" w:hAnsi="方正黑体" w:eastAsia="方正黑体" w:cs="方正黑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黑体" w:hAnsi="方正黑体" w:eastAsia="方正黑体" w:cs="方正黑体"/>
                <w:color w:val="auto"/>
                <w:kern w:val="0"/>
                <w:sz w:val="28"/>
                <w:szCs w:val="28"/>
                <w:lang w:eastAsia="zh-CN"/>
              </w:rPr>
              <w:t>目</w:t>
            </w:r>
          </w:p>
        </w:tc>
        <w:tc>
          <w:tcPr>
            <w:tcW w:w="6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" w:hAnsi="方正黑体" w:eastAsia="方正黑体" w:cs="方正黑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color w:val="auto"/>
                <w:kern w:val="0"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="方正黑体" w:hAnsi="方正黑体" w:eastAsia="方正黑体" w:cs="方正黑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黑体" w:hAnsi="方正黑体" w:eastAsia="方正黑体" w:cs="方正黑体"/>
                <w:color w:val="auto"/>
                <w:kern w:val="0"/>
                <w:sz w:val="28"/>
                <w:szCs w:val="28"/>
                <w:lang w:eastAsia="zh-CN"/>
              </w:rPr>
              <w:t>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  <w:t>初报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  <w:t>重污染天气预警的级别、主要污染物、采取的应急措施等。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  <w:t>续报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  <w:t>预警级别的变化情况、空气质量变化情况、已采取的响应措施及取得的效果等。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  <w:t>终报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  <w:t>应急响应终止情况、响应措施效果评估、应对经验、下一步工作计划及建议等。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  <w:t>报告时限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  <w:t>红色</w:t>
            </w: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val="zh-CN" w:eastAsia="zh-CN"/>
              </w:rPr>
              <w:t>（Ⅰ级）、</w:t>
            </w: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  <w:t>橙色</w:t>
            </w: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val="zh-CN" w:eastAsia="zh-CN"/>
              </w:rPr>
              <w:t>（Ⅱ级）</w:t>
            </w: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  <w:t>预警于发布预警30分钟内报告州生态环境局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  <w:t>报告方式</w:t>
            </w:r>
          </w:p>
        </w:tc>
        <w:tc>
          <w:tcPr>
            <w:tcW w:w="6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8"/>
                <w:szCs w:val="28"/>
                <w:lang w:eastAsia="zh-CN"/>
              </w:rPr>
              <w:t>电子邮件、传真等书面形式，并提供尽可能详实的图片、影像资料。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07D47"/>
    <w:rsid w:val="7100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2020-12-29T07:56:00Z</dcterms:created>
  <dc:creator>best</dc:creator>
  <cp:lastModifiedBy>best</cp:lastModifiedBy>
  <dcterms:modified xsi:type="dcterms:W3CDTF">2020-12-29T07:57:14Z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